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2" w:tblpY="65"/>
        <w:tblW w:w="10381" w:type="dxa"/>
        <w:tblLook w:val="00A0"/>
      </w:tblPr>
      <w:tblGrid>
        <w:gridCol w:w="6345"/>
        <w:gridCol w:w="4036"/>
      </w:tblGrid>
      <w:tr w:rsidR="00FD11DD" w:rsidRPr="004224DF" w:rsidTr="008C45EF">
        <w:trPr>
          <w:trHeight w:val="1291"/>
        </w:trPr>
        <w:tc>
          <w:tcPr>
            <w:tcW w:w="6345" w:type="dxa"/>
          </w:tcPr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</w:p>
        </w:tc>
        <w:tc>
          <w:tcPr>
            <w:tcW w:w="4036" w:type="dxa"/>
          </w:tcPr>
          <w:p w:rsidR="00FD11DD" w:rsidRPr="007A5A8E" w:rsidRDefault="00FD11DD" w:rsidP="008C45EF">
            <w:pPr>
              <w:keepLines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УТВЕРЖДЕНО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Правлением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  <w:r w:rsidRPr="007A5A8E">
              <w:rPr>
                <w:color w:val="000000"/>
              </w:rPr>
              <w:t>«Муниципального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  <w:r w:rsidRPr="007A5A8E">
              <w:rPr>
                <w:color w:val="000000"/>
              </w:rPr>
              <w:t>Камчатпрофитбанка» (АО)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  <w:r w:rsidRPr="007A5A8E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  </w:t>
            </w:r>
            <w:r w:rsidRPr="007A5A8E">
              <w:rPr>
                <w:color w:val="000000"/>
              </w:rPr>
              <w:t xml:space="preserve">»   </w:t>
            </w:r>
            <w:r>
              <w:rPr>
                <w:color w:val="000000"/>
              </w:rPr>
              <w:t xml:space="preserve">апреля </w:t>
            </w:r>
            <w:r w:rsidRPr="007A5A8E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7A5A8E">
              <w:rPr>
                <w:color w:val="000000"/>
              </w:rPr>
              <w:t>г.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  <w:r w:rsidRPr="007A5A8E">
              <w:rPr>
                <w:color w:val="000000"/>
              </w:rPr>
              <w:t>(Протокол №</w:t>
            </w:r>
            <w:r>
              <w:rPr>
                <w:color w:val="000000"/>
              </w:rPr>
              <w:t xml:space="preserve"> 15 </w:t>
            </w:r>
            <w:r w:rsidRPr="007A5A8E">
              <w:rPr>
                <w:color w:val="000000"/>
              </w:rPr>
              <w:t>)</w:t>
            </w:r>
          </w:p>
          <w:p w:rsidR="00FD11DD" w:rsidRPr="007A5A8E" w:rsidRDefault="00FD11DD" w:rsidP="008C45EF">
            <w:pPr>
              <w:keepLines/>
              <w:shd w:val="clear" w:color="auto" w:fill="FFFFFF"/>
              <w:rPr>
                <w:color w:val="000000"/>
              </w:rPr>
            </w:pPr>
          </w:p>
          <w:p w:rsidR="00FD11DD" w:rsidRPr="004224DF" w:rsidRDefault="00FD11DD" w:rsidP="008C45EF">
            <w:pPr>
              <w:rPr>
                <w:color w:val="000000"/>
              </w:rPr>
            </w:pPr>
          </w:p>
        </w:tc>
      </w:tr>
    </w:tbl>
    <w:p w:rsidR="00FD11DD" w:rsidRDefault="00FD11DD" w:rsidP="00FC0DA7">
      <w:pPr>
        <w:pStyle w:val="Standard"/>
        <w:jc w:val="right"/>
      </w:pPr>
    </w:p>
    <w:p w:rsidR="00FD11DD" w:rsidRPr="00020E4F" w:rsidRDefault="00FD11DD" w:rsidP="00020E4F">
      <w:pPr>
        <w:pStyle w:val="Standard"/>
        <w:jc w:val="center"/>
        <w:rPr>
          <w:b/>
          <w:sz w:val="30"/>
          <w:szCs w:val="30"/>
        </w:rPr>
      </w:pPr>
      <w:r w:rsidRPr="00020E4F">
        <w:rPr>
          <w:b/>
          <w:sz w:val="30"/>
          <w:szCs w:val="30"/>
        </w:rPr>
        <w:t>ПОЛОЖЕНИЕ</w:t>
      </w:r>
    </w:p>
    <w:p w:rsidR="00FD11DD" w:rsidRPr="00020E4F" w:rsidRDefault="00FD11DD" w:rsidP="00020E4F">
      <w:pPr>
        <w:pStyle w:val="Standard"/>
        <w:jc w:val="center"/>
        <w:rPr>
          <w:b/>
          <w:sz w:val="30"/>
          <w:szCs w:val="30"/>
        </w:rPr>
      </w:pPr>
    </w:p>
    <w:p w:rsidR="00FD11DD" w:rsidRPr="00020E4F" w:rsidRDefault="00FD11DD" w:rsidP="00020E4F">
      <w:pPr>
        <w:pStyle w:val="Standard"/>
        <w:jc w:val="center"/>
        <w:rPr>
          <w:b/>
          <w:sz w:val="30"/>
          <w:szCs w:val="30"/>
        </w:rPr>
      </w:pPr>
      <w:r w:rsidRPr="00020E4F">
        <w:rPr>
          <w:b/>
          <w:sz w:val="30"/>
          <w:szCs w:val="30"/>
        </w:rPr>
        <w:t>ПО ПРОТИВОДЕЙСТВИЮ КОРРУПЦИИ</w:t>
      </w:r>
      <w:r>
        <w:rPr>
          <w:b/>
          <w:sz w:val="30"/>
          <w:szCs w:val="30"/>
        </w:rPr>
        <w:t xml:space="preserve"> «МУНИЦИПАЛЬНОГО КАМЧАТПРОФИТБАНКА» (АО)</w:t>
      </w:r>
    </w:p>
    <w:p w:rsidR="00FD11DD" w:rsidRDefault="00FD11DD" w:rsidP="00FC0DA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11DD" w:rsidRPr="00CE1BED" w:rsidRDefault="00FD11DD" w:rsidP="00FC0DA7"/>
    <w:p w:rsidR="00FD11DD" w:rsidRPr="00020E4F" w:rsidRDefault="00FD11DD" w:rsidP="00FC0DA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E4F">
        <w:rPr>
          <w:rFonts w:ascii="Times New Roman" w:hAnsi="Times New Roman" w:cs="Times New Roman"/>
          <w:color w:val="auto"/>
          <w:sz w:val="24"/>
          <w:szCs w:val="24"/>
        </w:rPr>
        <w:t>1. ОСНОВНЫЕ ПОНЯТИЯ И ОПРЕДЕЛЕНИЯ.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</w:p>
    <w:p w:rsidR="00FD11DD" w:rsidRPr="00020E4F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020E4F">
        <w:rPr>
          <w:rFonts w:cs="Times New Roman"/>
        </w:rPr>
        <w:t>Для целей настоящего Положения по противодействию коррупции</w:t>
      </w:r>
      <w:r w:rsidRPr="00936AB6">
        <w:rPr>
          <w:rFonts w:cs="Times New Roman"/>
        </w:rPr>
        <w:t xml:space="preserve"> «Муниципального Камчатпрофитанка» (АО) (далее – Положение) </w:t>
      </w:r>
      <w:r w:rsidRPr="00020E4F">
        <w:rPr>
          <w:rFonts w:cs="Times New Roman"/>
        </w:rPr>
        <w:t xml:space="preserve">используются следующие понятия и определения.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020E4F">
        <w:rPr>
          <w:rFonts w:cs="Times New Roman"/>
          <w:b/>
        </w:rPr>
        <w:t>Банк</w:t>
      </w:r>
      <w:r w:rsidRPr="00936AB6">
        <w:rPr>
          <w:rFonts w:cs="Times New Roman"/>
          <w:b/>
        </w:rPr>
        <w:t xml:space="preserve"> </w:t>
      </w:r>
      <w:r w:rsidRPr="00020E4F">
        <w:rPr>
          <w:rFonts w:cs="Times New Roman"/>
          <w:b/>
        </w:rPr>
        <w:t xml:space="preserve">- </w:t>
      </w:r>
      <w:r w:rsidRPr="00020E4F">
        <w:rPr>
          <w:rFonts w:cs="Times New Roman"/>
        </w:rPr>
        <w:t xml:space="preserve">Акционерный коммерческий банк «Муниципальный Камчатпрофитбанк» (Акционерное общество), включая его филиалы, дополнительные и операционные офисы. 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020E4F">
        <w:rPr>
          <w:rFonts w:cs="Times New Roman"/>
          <w:b/>
        </w:rPr>
        <w:t>Коррупция</w:t>
      </w:r>
      <w:r w:rsidRPr="00936AB6">
        <w:rPr>
          <w:rFonts w:cs="Times New Roman"/>
        </w:rPr>
        <w:t xml:space="preserve"> (коррупционные действия):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  <w:kern w:val="0"/>
          <w:lang w:bidi="ar-SA"/>
        </w:rPr>
      </w:pPr>
      <w:r w:rsidRPr="00936AB6">
        <w:rPr>
          <w:rFonts w:cs="Times New Roman"/>
        </w:rPr>
        <w:t>а)</w:t>
      </w:r>
      <w:bookmarkStart w:id="0" w:name="Par0"/>
      <w:bookmarkEnd w:id="0"/>
      <w:r w:rsidRPr="00936AB6">
        <w:rPr>
          <w:rFonts w:cs="Times New Roman"/>
        </w:rPr>
        <w:t xml:space="preserve"> </w:t>
      </w:r>
      <w:r w:rsidRPr="00936AB6">
        <w:rPr>
          <w:rFonts w:cs="Times New Roman"/>
          <w:kern w:val="0"/>
          <w:lang w:bidi="ar-SA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(в том числе </w:t>
      </w:r>
      <w:r>
        <w:rPr>
          <w:rFonts w:cs="Times New Roman"/>
          <w:kern w:val="0"/>
          <w:lang w:bidi="ar-SA"/>
        </w:rPr>
        <w:t>сотрудником</w:t>
      </w:r>
      <w:r w:rsidRPr="00936AB6">
        <w:rPr>
          <w:rFonts w:cs="Times New Roman"/>
          <w:kern w:val="0"/>
          <w:lang w:bidi="ar-SA"/>
        </w:rPr>
        <w:t xml:space="preserve"> Банка) своего должностного положения вопреки законным интересам общества (включая Банк)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(в том числе </w:t>
      </w:r>
      <w:r>
        <w:rPr>
          <w:rFonts w:cs="Times New Roman"/>
          <w:kern w:val="0"/>
          <w:lang w:bidi="ar-SA"/>
        </w:rPr>
        <w:t>сотруднику</w:t>
      </w:r>
      <w:r w:rsidRPr="00936AB6">
        <w:rPr>
          <w:rFonts w:cs="Times New Roman"/>
          <w:kern w:val="0"/>
          <w:lang w:bidi="ar-SA"/>
        </w:rPr>
        <w:t xml:space="preserve"> Банка) другими физическими лицами;</w:t>
      </w:r>
    </w:p>
    <w:p w:rsidR="00FD11DD" w:rsidRDefault="00FD11DD" w:rsidP="00020E4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936AB6">
        <w:rPr>
          <w:rFonts w:cs="Times New Roman"/>
          <w:kern w:val="0"/>
          <w:lang w:bidi="ar-SA"/>
        </w:rPr>
        <w:t>б) совершение деяний, указанных выше, от имени или в интересах Банка;</w:t>
      </w:r>
    </w:p>
    <w:p w:rsidR="00FD11DD" w:rsidRPr="00936AB6" w:rsidRDefault="00FD11DD" w:rsidP="00020E4F">
      <w:pPr>
        <w:widowControl/>
        <w:autoSpaceDE w:val="0"/>
        <w:adjustRightInd w:val="0"/>
        <w:ind w:firstLine="539"/>
        <w:jc w:val="both"/>
        <w:textAlignment w:val="auto"/>
        <w:rPr>
          <w:rFonts w:cs="Times New Roman"/>
          <w:kern w:val="0"/>
          <w:lang w:bidi="ar-SA"/>
        </w:rPr>
      </w:pPr>
      <w:r w:rsidRPr="00020E4F">
        <w:rPr>
          <w:rFonts w:cs="Times New Roman"/>
          <w:b/>
          <w:kern w:val="0"/>
          <w:lang w:bidi="ar-SA"/>
        </w:rPr>
        <w:t>Коррупционное правонарушение</w:t>
      </w:r>
      <w:r w:rsidRPr="00936AB6">
        <w:rPr>
          <w:rFonts w:cs="Times New Roman"/>
          <w:b/>
          <w:kern w:val="0"/>
          <w:lang w:bidi="ar-SA"/>
        </w:rPr>
        <w:t xml:space="preserve"> </w:t>
      </w:r>
      <w:r w:rsidRPr="00020E4F">
        <w:rPr>
          <w:rFonts w:cs="Times New Roman"/>
          <w:b/>
          <w:kern w:val="0"/>
          <w:lang w:bidi="ar-SA"/>
        </w:rPr>
        <w:t xml:space="preserve">- </w:t>
      </w:r>
      <w:r w:rsidRPr="00936AB6">
        <w:rPr>
          <w:rFonts w:cs="Times New Roman"/>
          <w:kern w:val="0"/>
          <w:lang w:bidi="ar-SA"/>
        </w:rPr>
        <w:t>совершенное противоправное (в нарушение антикоррупционного законодательства Российской Федерации) деяние, обладающее признаками коррупции, за которое законодательством Российской Федерации установлена гражданско- правовая, дисциплинарная, административная или уголовная ответственность.</w:t>
      </w:r>
    </w:p>
    <w:p w:rsidR="00FD11DD" w:rsidRPr="00936AB6" w:rsidRDefault="00FD11DD" w:rsidP="00020E4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020E4F">
        <w:rPr>
          <w:rFonts w:cs="Times New Roman"/>
          <w:b/>
          <w:kern w:val="0"/>
          <w:lang w:bidi="ar-SA"/>
        </w:rPr>
        <w:t>Противодействие коррупции</w:t>
      </w:r>
      <w:r w:rsidRPr="00936AB6">
        <w:rPr>
          <w:rFonts w:cs="Times New Roman"/>
          <w:kern w:val="0"/>
          <w:lang w:bidi="ar-SA"/>
        </w:rPr>
        <w:t xml:space="preserve"> -  деятельность сотрудников Банка, Органов управления Банка, Органов внутреннего контроля Банка в пределах их полномочий:</w:t>
      </w:r>
    </w:p>
    <w:p w:rsidR="00FD11DD" w:rsidRPr="00936AB6" w:rsidRDefault="00FD11DD" w:rsidP="00020E4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936AB6">
        <w:rPr>
          <w:rFonts w:cs="Times New Roman"/>
          <w:kern w:val="0"/>
          <w:lang w:bidi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D11DD" w:rsidRPr="00936AB6" w:rsidRDefault="00FD11DD" w:rsidP="00020E4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936AB6">
        <w:rPr>
          <w:rFonts w:cs="Times New Roman"/>
          <w:kern w:val="0"/>
          <w:lang w:bidi="ar-SA"/>
        </w:rPr>
        <w:t>б) по выявлению, предупреждению, пресечению, раскрытию и расследованию коррупц</w:t>
      </w:r>
      <w:r>
        <w:rPr>
          <w:rFonts w:cs="Times New Roman"/>
          <w:kern w:val="0"/>
          <w:lang w:bidi="ar-SA"/>
        </w:rPr>
        <w:t>и</w:t>
      </w:r>
      <w:r w:rsidRPr="00936AB6">
        <w:rPr>
          <w:rFonts w:cs="Times New Roman"/>
          <w:kern w:val="0"/>
          <w:lang w:bidi="ar-SA"/>
        </w:rPr>
        <w:t>онных правонарушений (борьба с коррупцией);</w:t>
      </w:r>
    </w:p>
    <w:p w:rsidR="00FD11DD" w:rsidRPr="00936AB6" w:rsidRDefault="00FD11DD" w:rsidP="00020E4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936AB6">
        <w:rPr>
          <w:rFonts w:cs="Times New Roman"/>
          <w:kern w:val="0"/>
          <w:lang w:bidi="ar-SA"/>
        </w:rPr>
        <w:t>в) по минимизации и/или ликвидации последствий коррупционных правонарушений.</w:t>
      </w:r>
    </w:p>
    <w:p w:rsidR="00FD11DD" w:rsidRPr="00936AB6" w:rsidRDefault="00FD11DD" w:rsidP="00FC0D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b/>
          <w:sz w:val="24"/>
          <w:szCs w:val="24"/>
        </w:rPr>
        <w:t>Сотрудник</w:t>
      </w:r>
      <w:r w:rsidRPr="00936AB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AB6">
        <w:rPr>
          <w:rFonts w:ascii="Times New Roman" w:hAnsi="Times New Roman" w:cs="Times New Roman"/>
          <w:sz w:val="24"/>
          <w:szCs w:val="24"/>
        </w:rPr>
        <w:t>- физические лица, вступившие в трудовые отношения с Банком (либо заключившие с Банком гражданско – правовой договор) обязанности которых регламентируются должностными инструкциями в зависимости от того, к какому структурному подразделению Банка они относятся.</w:t>
      </w:r>
    </w:p>
    <w:p w:rsidR="00FD11DD" w:rsidRDefault="00FD11DD" w:rsidP="00020E4F">
      <w:pPr>
        <w:pStyle w:val="ConsPlusNormal"/>
        <w:ind w:firstLine="540"/>
        <w:jc w:val="both"/>
        <w:rPr>
          <w:rFonts w:cs="Times New Roman"/>
        </w:rPr>
      </w:pPr>
      <w:r w:rsidRPr="0093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DD" w:rsidRPr="00020E4F" w:rsidRDefault="00FD11DD" w:rsidP="00FC0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1DD" w:rsidRPr="00936AB6" w:rsidRDefault="00FD11DD" w:rsidP="00FC0DA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4916703"/>
      <w:r w:rsidRPr="00936AB6">
        <w:rPr>
          <w:rFonts w:ascii="Times New Roman" w:hAnsi="Times New Roman" w:cs="Times New Roman"/>
          <w:color w:val="auto"/>
          <w:sz w:val="24"/>
          <w:szCs w:val="24"/>
        </w:rPr>
        <w:t>2. ОБЩИЕ ПОЛОЖЕНИЯ.</w:t>
      </w:r>
      <w:bookmarkEnd w:id="1"/>
    </w:p>
    <w:p w:rsidR="00FD11DD" w:rsidRPr="00936AB6" w:rsidRDefault="00FD11DD" w:rsidP="00FC0DA7">
      <w:pPr>
        <w:pStyle w:val="Standard"/>
        <w:rPr>
          <w:rFonts w:cs="Times New Roman"/>
        </w:rPr>
      </w:pPr>
    </w:p>
    <w:p w:rsidR="00FD11DD" w:rsidRPr="00020E4F" w:rsidRDefault="00FD11DD" w:rsidP="00020E4F">
      <w:pPr>
        <w:pStyle w:val="Standard"/>
        <w:ind w:firstLine="709"/>
        <w:jc w:val="both"/>
        <w:rPr>
          <w:rFonts w:cs="Times New Roman"/>
          <w:highlight w:val="yellow"/>
        </w:rPr>
      </w:pPr>
      <w:r w:rsidRPr="00936AB6">
        <w:rPr>
          <w:rFonts w:cs="Times New Roman"/>
          <w:b/>
          <w:bCs/>
        </w:rPr>
        <w:t>2.1.</w:t>
      </w:r>
      <w:r w:rsidRPr="00936AB6">
        <w:rPr>
          <w:rFonts w:cs="Times New Roman"/>
        </w:rPr>
        <w:t xml:space="preserve"> Настоящее Положение разработано в соответствии с действующим законодательством </w:t>
      </w:r>
      <w:r w:rsidRPr="00936AB6">
        <w:rPr>
          <w:rFonts w:cs="Times New Roman"/>
          <w:kern w:val="0"/>
          <w:lang w:bidi="ar-SA"/>
        </w:rPr>
        <w:t>Российской Федерации</w:t>
      </w:r>
      <w:r w:rsidRPr="00936AB6">
        <w:rPr>
          <w:rFonts w:cs="Times New Roman"/>
        </w:rPr>
        <w:t xml:space="preserve"> и определяет основные</w:t>
      </w:r>
      <w:r w:rsidRPr="00020E4F">
        <w:rPr>
          <w:rFonts w:cs="Times New Roman"/>
        </w:rPr>
        <w:t xml:space="preserve"> принципы</w:t>
      </w:r>
      <w:r w:rsidRPr="00936AB6">
        <w:rPr>
          <w:rFonts w:cs="Times New Roman"/>
        </w:rPr>
        <w:t xml:space="preserve"> </w:t>
      </w:r>
      <w:r w:rsidRPr="00020E4F">
        <w:rPr>
          <w:rFonts w:cs="Times New Roman"/>
        </w:rPr>
        <w:t xml:space="preserve">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  <w:bCs/>
        </w:rPr>
        <w:t>2.2.</w:t>
      </w:r>
      <w:r w:rsidRPr="00936AB6">
        <w:rPr>
          <w:rFonts w:cs="Times New Roman"/>
        </w:rPr>
        <w:t xml:space="preserve"> Требования </w:t>
      </w:r>
      <w:r w:rsidRPr="00020E4F">
        <w:rPr>
          <w:rFonts w:cs="Times New Roman"/>
        </w:rPr>
        <w:t xml:space="preserve">настоящего Положения распространяются на всех </w:t>
      </w:r>
      <w:r w:rsidRPr="00936AB6">
        <w:rPr>
          <w:rFonts w:cs="Times New Roman"/>
        </w:rPr>
        <w:t xml:space="preserve">сотрудников </w:t>
      </w:r>
      <w:r w:rsidRPr="00020E4F">
        <w:rPr>
          <w:rFonts w:cs="Times New Roman"/>
        </w:rPr>
        <w:t xml:space="preserve">Банка независимо от занимаемой должности, статуса и срока их работы в Банке. Все </w:t>
      </w:r>
      <w:r w:rsidRPr="00936AB6">
        <w:rPr>
          <w:rFonts w:cs="Times New Roman"/>
        </w:rPr>
        <w:t>сотрудники</w:t>
      </w:r>
      <w:r w:rsidRPr="00020E4F">
        <w:rPr>
          <w:rFonts w:cs="Times New Roman"/>
        </w:rPr>
        <w:t xml:space="preserve"> Банка должны руководствоваться настоящим Положением и неукоснительно соблюдать его принципы и требования.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</w:rPr>
        <w:t>2.</w:t>
      </w:r>
      <w:r w:rsidRPr="00020E4F">
        <w:rPr>
          <w:rFonts w:cs="Times New Roman"/>
          <w:b/>
        </w:rPr>
        <w:t>3</w:t>
      </w:r>
      <w:r w:rsidRPr="00936AB6">
        <w:rPr>
          <w:rFonts w:cs="Times New Roman"/>
        </w:rPr>
        <w:t>. Банк содействует повышению уровня антикоррупционной культуры путем ознакомления при приеме на работу своих сотрудников в целях поддержания их осведомленности в вопросах соблюдения норм антикоррупционного законодательства и требований настоящего Положения</w:t>
      </w:r>
      <w:r>
        <w:rPr>
          <w:rFonts w:cs="Times New Roman"/>
        </w:rPr>
        <w:t xml:space="preserve"> (с последующим проставлением собственноручной подписи в Листе ознакомления, Приложение 2 к Положению)</w:t>
      </w:r>
      <w:r w:rsidRPr="00936AB6">
        <w:rPr>
          <w:rFonts w:cs="Times New Roman"/>
        </w:rPr>
        <w:t xml:space="preserve">. 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</w:rPr>
        <w:t>2.</w:t>
      </w:r>
      <w:r w:rsidRPr="00020E4F">
        <w:rPr>
          <w:rFonts w:cs="Times New Roman"/>
          <w:b/>
        </w:rPr>
        <w:t>4</w:t>
      </w:r>
      <w:r w:rsidRPr="00936AB6">
        <w:rPr>
          <w:rFonts w:cs="Times New Roman"/>
        </w:rPr>
        <w:t xml:space="preserve">. Сотрудники Службы внутреннего аудита и Службы внутреннего контроля в рамках текущей деятельности, осуществляют контроль соблюдения в Банке антикоррупционного законодательства </w:t>
      </w:r>
      <w:r w:rsidRPr="00936AB6">
        <w:rPr>
          <w:rFonts w:cs="Times New Roman"/>
          <w:kern w:val="0"/>
          <w:lang w:bidi="ar-SA"/>
        </w:rPr>
        <w:t>Российской Федерации</w:t>
      </w:r>
      <w:r w:rsidRPr="00936AB6">
        <w:rPr>
          <w:rFonts w:cs="Times New Roman"/>
        </w:rPr>
        <w:t xml:space="preserve">.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</w:rPr>
        <w:t>2.</w:t>
      </w:r>
      <w:r w:rsidRPr="00020E4F">
        <w:rPr>
          <w:rFonts w:cs="Times New Roman"/>
          <w:b/>
        </w:rPr>
        <w:t>5</w:t>
      </w:r>
      <w:r w:rsidRPr="00936AB6">
        <w:rPr>
          <w:rFonts w:cs="Times New Roman"/>
        </w:rPr>
        <w:t xml:space="preserve">.  По фактам обращения клиентов по вопросам предвзятого отношения в обслуживании, угодничестве одним клиентам по сравнению с другими и прочим факторам возможных противоправных действий </w:t>
      </w:r>
      <w:r>
        <w:rPr>
          <w:rFonts w:cs="Times New Roman"/>
        </w:rPr>
        <w:t xml:space="preserve">сотрудников </w:t>
      </w:r>
      <w:r w:rsidRPr="00936AB6">
        <w:rPr>
          <w:rFonts w:cs="Times New Roman"/>
        </w:rPr>
        <w:t xml:space="preserve">структурных подразделений (включая филиалы, дополнительные и операционные офисы), проводятся служебные расследования.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</w:rPr>
        <w:t>2.</w:t>
      </w:r>
      <w:r w:rsidRPr="00020E4F">
        <w:rPr>
          <w:rFonts w:cs="Times New Roman"/>
          <w:b/>
        </w:rPr>
        <w:t xml:space="preserve">6. </w:t>
      </w:r>
      <w:r w:rsidRPr="00020E4F">
        <w:rPr>
          <w:rFonts w:cs="Times New Roman"/>
        </w:rPr>
        <w:t>Юридический отдел</w:t>
      </w:r>
      <w:r w:rsidRPr="00936AB6">
        <w:rPr>
          <w:rFonts w:cs="Times New Roman"/>
          <w:b/>
        </w:rPr>
        <w:t xml:space="preserve"> </w:t>
      </w:r>
      <w:r w:rsidRPr="00020E4F">
        <w:rPr>
          <w:rFonts w:cs="Times New Roman"/>
        </w:rPr>
        <w:t xml:space="preserve">осуществляет контроль за содержанием норм антикоррупционного законодательства </w:t>
      </w:r>
      <w:r w:rsidRPr="00936AB6">
        <w:rPr>
          <w:rFonts w:cs="Times New Roman"/>
          <w:kern w:val="0"/>
          <w:lang w:bidi="ar-SA"/>
        </w:rPr>
        <w:t xml:space="preserve">Российской Федерации </w:t>
      </w:r>
      <w:r w:rsidRPr="00020E4F">
        <w:rPr>
          <w:rFonts w:cs="Times New Roman"/>
        </w:rPr>
        <w:t xml:space="preserve">в правоотношениях с контрагентами Банка.  </w:t>
      </w:r>
    </w:p>
    <w:p w:rsidR="00FD11DD" w:rsidRPr="00936AB6" w:rsidRDefault="00FD11DD" w:rsidP="00020E4F">
      <w:pPr>
        <w:pStyle w:val="Standard"/>
        <w:ind w:firstLine="709"/>
        <w:jc w:val="both"/>
        <w:rPr>
          <w:rFonts w:cs="Times New Roman"/>
        </w:rPr>
      </w:pPr>
      <w:r w:rsidRPr="00936AB6">
        <w:rPr>
          <w:rFonts w:cs="Times New Roman"/>
          <w:b/>
        </w:rPr>
        <w:t>2.</w:t>
      </w:r>
      <w:r w:rsidRPr="00020E4F">
        <w:rPr>
          <w:rFonts w:cs="Times New Roman"/>
          <w:b/>
        </w:rPr>
        <w:t>7</w:t>
      </w:r>
      <w:r w:rsidRPr="00936AB6">
        <w:rPr>
          <w:rFonts w:cs="Times New Roman"/>
        </w:rPr>
        <w:t xml:space="preserve">. Банк размещает настоящее Положение в свободном доступе на официальном сайте Банка в информационно- телекоммуникационной сети «Интернет», открыто заявляет о непринятии коррупции, приветствует и поощряет соблюдение принципов и требований настоящего Положения всеми контрагентами, членами органов управления Банка и его </w:t>
      </w:r>
      <w:r>
        <w:rPr>
          <w:rFonts w:cs="Times New Roman"/>
        </w:rPr>
        <w:t>сотрудниками</w:t>
      </w:r>
      <w:r w:rsidRPr="00936AB6">
        <w:rPr>
          <w:rFonts w:cs="Times New Roman"/>
        </w:rPr>
        <w:t>.</w:t>
      </w:r>
    </w:p>
    <w:p w:rsidR="00FD11DD" w:rsidRDefault="00FD11DD" w:rsidP="00FC0DA7">
      <w:pPr>
        <w:pStyle w:val="Standard"/>
        <w:jc w:val="both"/>
        <w:rPr>
          <w:rFonts w:cs="Times New Roman"/>
        </w:rPr>
      </w:pPr>
    </w:p>
    <w:p w:rsidR="00FD11DD" w:rsidRDefault="00FD11DD" w:rsidP="00FC0DA7">
      <w:pPr>
        <w:jc w:val="center"/>
        <w:rPr>
          <w:rFonts w:cs="Times New Roman"/>
          <w:b/>
          <w:lang w:eastAsia="ru-RU"/>
        </w:rPr>
      </w:pPr>
    </w:p>
    <w:p w:rsidR="00FD11DD" w:rsidRDefault="00FD11DD" w:rsidP="00FC0DA7">
      <w:pPr>
        <w:jc w:val="center"/>
        <w:rPr>
          <w:rFonts w:cs="Times New Roman"/>
          <w:b/>
          <w:lang w:eastAsia="ru-RU"/>
        </w:rPr>
      </w:pPr>
    </w:p>
    <w:p w:rsidR="00FD11DD" w:rsidRPr="00936AB6" w:rsidRDefault="00FD11DD" w:rsidP="00FC0DA7">
      <w:pPr>
        <w:jc w:val="center"/>
        <w:rPr>
          <w:rFonts w:cs="Times New Roman"/>
          <w:b/>
          <w:lang w:eastAsia="ru-RU"/>
        </w:rPr>
      </w:pPr>
      <w:r w:rsidRPr="00936AB6">
        <w:rPr>
          <w:rFonts w:cs="Times New Roman"/>
          <w:b/>
          <w:lang w:eastAsia="ru-RU"/>
        </w:rPr>
        <w:t>3. </w:t>
      </w:r>
      <w:r w:rsidRPr="00936AB6">
        <w:rPr>
          <w:rFonts w:cs="Times New Roman"/>
          <w:b/>
          <w:color w:val="000000"/>
          <w:lang w:eastAsia="ru-RU"/>
        </w:rPr>
        <w:t>КОРРУПЦИОННЫЕ ДЕЙСТВИЯ</w:t>
      </w:r>
    </w:p>
    <w:p w:rsidR="00FD11DD" w:rsidRPr="00936AB6" w:rsidRDefault="00FD11DD" w:rsidP="00FC0DA7">
      <w:pPr>
        <w:jc w:val="both"/>
        <w:rPr>
          <w:rFonts w:cs="Times New Roman"/>
          <w:color w:val="000000"/>
          <w:lang w:eastAsia="ru-RU"/>
        </w:rPr>
      </w:pP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color w:val="000000"/>
          <w:lang w:eastAsia="ru-RU"/>
        </w:rPr>
        <w:t>3.1.</w:t>
      </w:r>
      <w:r w:rsidRPr="00936AB6">
        <w:rPr>
          <w:rFonts w:cs="Times New Roman"/>
          <w:lang w:eastAsia="ru-RU"/>
        </w:rPr>
        <w:t xml:space="preserve"> В соответствии с законодательством </w:t>
      </w:r>
      <w:r w:rsidRPr="00936AB6">
        <w:rPr>
          <w:rFonts w:cs="Times New Roman"/>
          <w:kern w:val="0"/>
          <w:lang w:bidi="ar-SA"/>
        </w:rPr>
        <w:t>Российской Федерации</w:t>
      </w:r>
      <w:r w:rsidRPr="00936AB6">
        <w:rPr>
          <w:rFonts w:cs="Times New Roman"/>
          <w:lang w:eastAsia="ru-RU"/>
        </w:rPr>
        <w:t>, нормативными актами в сфере противодействия коррупции Банк считает коррупционными действиями действия, совершенные: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3.1.1. в отношении Банка либо от имени или в интересах Банка в отношении третьих лиц, в том числе в отношении государственных и муниципальных органов и их служащих, Банка России и его служащих, иных юридических лиц и их работников, органов управления и представителей указанных юридических лиц;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3.1.2. прямо или косвенно (лично или через посредничество третьих лиц);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3.1.3. независимо от цели, включая упрощение административных и иных процедур, обеспечение конкурентных и иных преимуществ</w:t>
      </w:r>
      <w:r>
        <w:rPr>
          <w:rFonts w:cs="Times New Roman"/>
          <w:lang w:eastAsia="ru-RU"/>
        </w:rPr>
        <w:t>, сопряженные с коррупционными действиями</w:t>
      </w:r>
      <w:r w:rsidRPr="00936AB6">
        <w:rPr>
          <w:rFonts w:cs="Times New Roman"/>
          <w:lang w:eastAsia="ru-RU"/>
        </w:rPr>
        <w:t>;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3.1.4. в любой форме, в том числе в форме получения/предоставления денежных средств, ценностей, иного имущества или услуг имущественного характера, иных имущественных прав.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 Коррупционными действиями, совершенными в целях, в форме или в порядке, указанных в пунктах 3.1.1-3.1.4 настоящего документа, являются: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3.2.1. дача взятки и посредничество в даче взятки, то есть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 и/или внутренних нормативных документов Банка;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3.2.2. получение взятки и посредничество в получении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 и/или внутренних нормативных документов Банка;</w:t>
      </w:r>
    </w:p>
    <w:p w:rsidR="00FD11DD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3.2.3. коммерческий подкуп, то есть незаконная передача лицу, выполняющему управленческие функции в Банке,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FD11DD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3570D8">
        <w:rPr>
          <w:rFonts w:ascii="Times New Roman" w:hAnsi="Times New Roman" w:cs="Times New Roman"/>
          <w:lang w:eastAsia="ru-RU"/>
        </w:rPr>
        <w:t xml:space="preserve">3.2.4. </w:t>
      </w:r>
      <w:r w:rsidRPr="003570D8">
        <w:rPr>
          <w:rFonts w:ascii="Times New Roman" w:hAnsi="Times New Roman" w:cs="Times New Roman"/>
        </w:rPr>
        <w:t>подкуп государственных служащих, то есть предоставление или обещание предоставить государственному служащему люб</w:t>
      </w:r>
      <w:r>
        <w:rPr>
          <w:rFonts w:ascii="Times New Roman" w:hAnsi="Times New Roman" w:cs="Times New Roman"/>
        </w:rPr>
        <w:t>ую финансовую или другую выгоду</w:t>
      </w:r>
      <w:r w:rsidRPr="003570D8">
        <w:rPr>
          <w:rFonts w:ascii="Times New Roman" w:hAnsi="Times New Roman" w:cs="Times New Roman"/>
        </w:rPr>
        <w:t>/ преимущества с целью повлиять на исполнение его официальн</w:t>
      </w:r>
      <w:r>
        <w:rPr>
          <w:rFonts w:ascii="Times New Roman" w:hAnsi="Times New Roman" w:cs="Times New Roman"/>
        </w:rPr>
        <w:t>ых обязанностей, чтобы получить</w:t>
      </w:r>
      <w:r w:rsidRPr="003570D8">
        <w:rPr>
          <w:rFonts w:ascii="Times New Roman" w:hAnsi="Times New Roman" w:cs="Times New Roman"/>
        </w:rPr>
        <w:t>/ удержать бизнес или обеспечить конкурентные или иные преимущества для Банка</w:t>
      </w:r>
      <w:r>
        <w:rPr>
          <w:rFonts w:ascii="Times New Roman" w:hAnsi="Times New Roman" w:cs="Times New Roman"/>
        </w:rPr>
        <w:t>;</w:t>
      </w:r>
      <w:r w:rsidRPr="003570D8">
        <w:rPr>
          <w:rFonts w:ascii="Times New Roman" w:hAnsi="Times New Roman" w:cs="Times New Roman"/>
        </w:rPr>
        <w:t xml:space="preserve"> 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</w:t>
      </w:r>
      <w:r>
        <w:rPr>
          <w:rFonts w:cs="Times New Roman"/>
          <w:lang w:eastAsia="ru-RU"/>
        </w:rPr>
        <w:t>5</w:t>
      </w:r>
      <w:r w:rsidRPr="00936AB6">
        <w:rPr>
          <w:rFonts w:cs="Times New Roman"/>
          <w:lang w:eastAsia="ru-RU"/>
        </w:rPr>
        <w:t>. использование Органами управления Банка, Органами внутреннего контроля, сотрудниками Банка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Банка;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3.2.</w:t>
      </w:r>
      <w:r>
        <w:rPr>
          <w:rFonts w:cs="Times New Roman"/>
          <w:lang w:eastAsia="ru-RU"/>
        </w:rPr>
        <w:t>6</w:t>
      </w:r>
      <w:r w:rsidRPr="00936AB6">
        <w:rPr>
          <w:rFonts w:cs="Times New Roman"/>
          <w:lang w:eastAsia="ru-RU"/>
        </w:rPr>
        <w:t>. иное незаконное использование своего должностного положения вопреки законным интересам Банка и/или общества, и/или государства в целях получения финансовой или иной выгоды/преимуществ.</w:t>
      </w: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  <w:r w:rsidRPr="00936AB6">
        <w:rPr>
          <w:rFonts w:cs="Times New Roman"/>
          <w:lang w:eastAsia="ru-RU"/>
        </w:rPr>
        <w:t>3.3. Сотрудникам Банка, Органам управления Банка, Органам внутреннего контроля Банка запрещается совершать коррупционные действия, указанные в пункте 3.2 настоящего Положения, в том числе запрещается прямо или косвенно, лично или через посредничество третьих лиц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государственной власти и местного самоуправления, государственных и муниципальных служащих, частных компаний и их представителей.</w:t>
      </w:r>
    </w:p>
    <w:p w:rsidR="00FD11DD" w:rsidRPr="00936AB6" w:rsidRDefault="00FD11DD" w:rsidP="00FC0DA7">
      <w:pPr>
        <w:ind w:firstLine="709"/>
        <w:jc w:val="both"/>
        <w:rPr>
          <w:rFonts w:cs="Times New Roman"/>
          <w:lang w:eastAsia="ru-RU"/>
        </w:rPr>
      </w:pPr>
    </w:p>
    <w:p w:rsidR="00FD11DD" w:rsidRDefault="00FD11DD" w:rsidP="00FC0DA7">
      <w:pPr>
        <w:ind w:firstLine="709"/>
        <w:jc w:val="both"/>
        <w:rPr>
          <w:rFonts w:cs="Times New Roman"/>
          <w:lang w:eastAsia="ru-RU"/>
        </w:rPr>
      </w:pPr>
    </w:p>
    <w:p w:rsidR="00FD11DD" w:rsidRDefault="00FD11DD" w:rsidP="00FC0DA7">
      <w:pPr>
        <w:ind w:firstLine="709"/>
        <w:jc w:val="both"/>
        <w:rPr>
          <w:rFonts w:cs="Times New Roman"/>
          <w:lang w:eastAsia="ru-RU"/>
        </w:rPr>
      </w:pPr>
    </w:p>
    <w:p w:rsidR="00FD11DD" w:rsidRPr="00936AB6" w:rsidRDefault="00FD11DD" w:rsidP="00020E4F">
      <w:pPr>
        <w:ind w:firstLine="709"/>
        <w:jc w:val="both"/>
        <w:rPr>
          <w:rFonts w:cs="Times New Roman"/>
          <w:lang w:eastAsia="ru-RU"/>
        </w:rPr>
      </w:pPr>
    </w:p>
    <w:p w:rsidR="00FD11DD" w:rsidRPr="00936AB6" w:rsidRDefault="00FD11DD" w:rsidP="00FC0DA7">
      <w:pPr>
        <w:jc w:val="center"/>
        <w:rPr>
          <w:rFonts w:cs="Times New Roman"/>
          <w:b/>
          <w:lang w:eastAsia="ru-RU"/>
        </w:rPr>
      </w:pPr>
      <w:r w:rsidRPr="00936AB6">
        <w:rPr>
          <w:rFonts w:cs="Times New Roman"/>
          <w:b/>
          <w:lang w:eastAsia="ru-RU"/>
        </w:rPr>
        <w:t xml:space="preserve">4. ОСНОВНЫЕ ПРИНЦИПЫ ПРОТИВОДЕЙСТВИЯ КОРРУПЦИИ. </w:t>
      </w:r>
    </w:p>
    <w:p w:rsidR="00FD11DD" w:rsidRPr="00936AB6" w:rsidRDefault="00FD11DD" w:rsidP="00020E4F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6AB6">
        <w:rPr>
          <w:rFonts w:ascii="Times New Roman" w:hAnsi="Times New Roman" w:cs="Times New Roman"/>
          <w:b w:val="0"/>
          <w:color w:val="auto"/>
          <w:sz w:val="24"/>
          <w:szCs w:val="24"/>
        </w:rPr>
        <w:t>4.1. Противодействие коррупции в Банке основывается на следующих основных принципах:</w:t>
      </w:r>
    </w:p>
    <w:p w:rsidR="00FD11DD" w:rsidRPr="00936AB6" w:rsidRDefault="00FD11DD" w:rsidP="00FC0DA7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6AB6">
        <w:rPr>
          <w:rFonts w:ascii="Times New Roman" w:hAnsi="Times New Roman" w:cs="Times New Roman"/>
          <w:b w:val="0"/>
          <w:color w:val="auto"/>
          <w:sz w:val="24"/>
          <w:szCs w:val="24"/>
        </w:rPr>
        <w:t>4.1.1. признание, обеспечение и защита основных прав и свобод человека и гражданина. Коррупция приводит к нарушению прав граждан, к несоблюдению условий законной конкуренции между субъектами экономической деятельности;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 xml:space="preserve">4.1.2. законность. Банк осуществляет свою деятельность в соответствии с требованиями законодательства </w:t>
      </w:r>
      <w:r w:rsidRPr="00936AB6">
        <w:rPr>
          <w:rFonts w:cs="Times New Roman"/>
          <w:kern w:val="0"/>
          <w:lang w:bidi="ar-SA"/>
        </w:rPr>
        <w:t>Российской Федерации</w:t>
      </w:r>
      <w:r w:rsidRPr="00936AB6">
        <w:rPr>
          <w:rFonts w:cs="Times New Roman"/>
        </w:rPr>
        <w:t>;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 xml:space="preserve">4.1.3. публичность и открытость деятельности органов управления Банка и сотрудников Банка (с учетом требований законодательства </w:t>
      </w:r>
      <w:r w:rsidRPr="00936AB6">
        <w:rPr>
          <w:rFonts w:cs="Times New Roman"/>
          <w:kern w:val="0"/>
          <w:lang w:bidi="ar-SA"/>
        </w:rPr>
        <w:t xml:space="preserve">Российской Федерации </w:t>
      </w:r>
      <w:r w:rsidRPr="00936AB6">
        <w:rPr>
          <w:rFonts w:cs="Times New Roman"/>
        </w:rPr>
        <w:t>о коммерческой и банковской тайне);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>4.1.4. неотвратимость привлечения к  ответственности за совершение коррупционных правонарушений. Законодательством Российской Федерации предусмотрена ответственность физических и юридических лиц за совершение коррупционных правонарушений;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>4.1.5. комплексное использование политических, организационных, информационно- пропагандистских, социально- экономических, правовых, специальных и иных мер;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 xml:space="preserve">4.1.6. приоритетное применение мер по предупреждению коррупции в деятельности Банка;  </w:t>
      </w:r>
    </w:p>
    <w:p w:rsidR="00FD11DD" w:rsidRPr="00936AB6" w:rsidRDefault="00FD11DD" w:rsidP="00FC0DA7">
      <w:pPr>
        <w:jc w:val="both"/>
        <w:rPr>
          <w:rFonts w:cs="Times New Roman"/>
        </w:rPr>
      </w:pPr>
      <w:r w:rsidRPr="00936AB6">
        <w:rPr>
          <w:rFonts w:cs="Times New Roman"/>
        </w:rPr>
        <w:tab/>
        <w:t>4.1.7. ответственность за совершение коррупционных правонарушений.</w:t>
      </w:r>
    </w:p>
    <w:p w:rsidR="00FD11DD" w:rsidRDefault="00FD11DD" w:rsidP="00FC0DA7">
      <w:pPr>
        <w:jc w:val="both"/>
        <w:rPr>
          <w:rFonts w:cs="Times New Roman"/>
        </w:rPr>
      </w:pPr>
    </w:p>
    <w:p w:rsidR="00FD11DD" w:rsidRPr="00936AB6" w:rsidRDefault="00FD11DD" w:rsidP="00FC0DA7">
      <w:pPr>
        <w:jc w:val="both"/>
        <w:rPr>
          <w:rFonts w:cs="Times New Roman"/>
        </w:rPr>
      </w:pPr>
    </w:p>
    <w:p w:rsidR="00FD11DD" w:rsidRDefault="00FD11DD" w:rsidP="00FC0DA7">
      <w:pPr>
        <w:jc w:val="both"/>
      </w:pPr>
    </w:p>
    <w:p w:rsidR="00FD11DD" w:rsidRPr="00273542" w:rsidRDefault="00FD11DD" w:rsidP="00FC0DA7">
      <w:pPr>
        <w:ind w:firstLine="709"/>
        <w:jc w:val="center"/>
        <w:rPr>
          <w:b/>
        </w:rPr>
      </w:pPr>
      <w:r w:rsidRPr="00273542">
        <w:rPr>
          <w:b/>
        </w:rPr>
        <w:t>5. ПОДАРК</w:t>
      </w:r>
      <w:r>
        <w:rPr>
          <w:b/>
        </w:rPr>
        <w:t>И</w:t>
      </w:r>
      <w:r w:rsidRPr="00273542">
        <w:rPr>
          <w:b/>
        </w:rPr>
        <w:t xml:space="preserve"> И ПРЕДСТАВИТЕЛЬСКИЕ РАСХОДЫ.</w:t>
      </w:r>
    </w:p>
    <w:p w:rsidR="00FD11DD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307719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Pr="00F91850">
        <w:rPr>
          <w:rFonts w:ascii="Times New Roman" w:hAnsi="Times New Roman" w:cs="Times New Roman"/>
        </w:rPr>
        <w:t xml:space="preserve">Банк признает обмен деловыми подарками и осуществление представительских расходов, в том числе деловое гостеприимство, необходимой частью ведения бизнеса и общепринятой деловой практикой. </w:t>
      </w:r>
    </w:p>
    <w:p w:rsidR="00FD11DD" w:rsidRPr="00F91850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4A4D71">
        <w:rPr>
          <w:rFonts w:ascii="Times New Roman" w:hAnsi="Times New Roman" w:cs="Times New Roman"/>
        </w:rPr>
        <w:t>Подарки и представительские расходы, которые сотрудники от имени Банка могут предоставлять другим лицам и организациям, либо получать от других лиц и организаций (в связи с их должностными обязанностями), должны соответствовать существующим обычаям делового оборота и требованиям законодательства Российской Федерации</w:t>
      </w:r>
      <w:r>
        <w:rPr>
          <w:rFonts w:ascii="Times New Roman" w:hAnsi="Times New Roman" w:cs="Times New Roman"/>
        </w:rPr>
        <w:t>.</w:t>
      </w:r>
    </w:p>
    <w:p w:rsidR="00FD11DD" w:rsidRPr="0079042F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79042F">
        <w:rPr>
          <w:rFonts w:ascii="Times New Roman" w:hAnsi="Times New Roman" w:cs="Times New Roman"/>
          <w:color w:val="auto"/>
        </w:rPr>
        <w:t xml:space="preserve">5.3. </w:t>
      </w:r>
      <w:r w:rsidRPr="0079042F">
        <w:rPr>
          <w:rFonts w:ascii="Times New Roman" w:hAnsi="Times New Roman" w:cs="Times New Roman"/>
        </w:rPr>
        <w:t xml:space="preserve">Сотрудникам Банка запрещается предлагать, обещать, дарить, предоставлять, требовать, просить, принимать любые подарки/знаки делового гостеприимства/ представительские расходы в случаях, если подобные действия/подарки: </w:t>
      </w:r>
    </w:p>
    <w:p w:rsidR="00FD11DD" w:rsidRPr="0079042F" w:rsidRDefault="00FD11DD" w:rsidP="00FC0DA7">
      <w:pPr>
        <w:pStyle w:val="ListParagraph"/>
        <w:widowControl/>
        <w:numPr>
          <w:ilvl w:val="0"/>
          <w:numId w:val="1"/>
        </w:numPr>
        <w:autoSpaceDE w:val="0"/>
        <w:adjustRightInd w:val="0"/>
        <w:spacing w:after="27"/>
        <w:jc w:val="both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79042F">
        <w:rPr>
          <w:rFonts w:cs="Times New Roman"/>
          <w:color w:val="000000"/>
          <w:kern w:val="0"/>
          <w:szCs w:val="24"/>
          <w:lang w:bidi="ar-SA"/>
        </w:rPr>
        <w:t xml:space="preserve">имеют прямую или косвенную цель оказать выборочное воздействие на принятие решений, влияющих на сохранение, расширение или оптимизацию деятельности Банка или на получение какого-либо преимущества или выгоды для Банка, если без этих действий наступление благоприятных последствий для Банка представляется малореалистичным; </w:t>
      </w:r>
    </w:p>
    <w:p w:rsidR="00FD11DD" w:rsidRPr="0079042F" w:rsidRDefault="00FD11DD" w:rsidP="00FC0DA7">
      <w:pPr>
        <w:pStyle w:val="ListParagraph"/>
        <w:widowControl/>
        <w:numPr>
          <w:ilvl w:val="0"/>
          <w:numId w:val="1"/>
        </w:numPr>
        <w:autoSpaceDE w:val="0"/>
        <w:adjustRightInd w:val="0"/>
        <w:spacing w:after="27"/>
        <w:jc w:val="both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79042F">
        <w:rPr>
          <w:rFonts w:cs="Times New Roman"/>
          <w:color w:val="000000"/>
          <w:kern w:val="0"/>
          <w:szCs w:val="24"/>
          <w:lang w:bidi="ar-SA"/>
        </w:rPr>
        <w:t xml:space="preserve">не соответствуют нормам </w:t>
      </w:r>
      <w:r w:rsidRPr="0079042F">
        <w:rPr>
          <w:rFonts w:cs="Times New Roman"/>
          <w:szCs w:val="24"/>
        </w:rPr>
        <w:t xml:space="preserve">существующих обычаев делового оборота и требованиям законодательства Российской Федерации; </w:t>
      </w:r>
    </w:p>
    <w:p w:rsidR="00FD11DD" w:rsidRPr="0079042F" w:rsidRDefault="00FD11DD" w:rsidP="00FC0DA7">
      <w:pPr>
        <w:pStyle w:val="ListParagraph"/>
        <w:widowControl/>
        <w:numPr>
          <w:ilvl w:val="0"/>
          <w:numId w:val="1"/>
        </w:numPr>
        <w:autoSpaceDE w:val="0"/>
        <w:adjustRightInd w:val="0"/>
        <w:spacing w:after="27"/>
        <w:jc w:val="both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79042F">
        <w:rPr>
          <w:rFonts w:cs="Times New Roman"/>
          <w:color w:val="000000"/>
          <w:kern w:val="0"/>
          <w:szCs w:val="24"/>
          <w:lang w:bidi="ar-SA"/>
        </w:rPr>
        <w:t>создают репутационный или иной риск для Банка, сотрудников Банка в случае раскрытия информации о подарках или представительских расходах/ гостеприимстве;</w:t>
      </w:r>
    </w:p>
    <w:p w:rsidR="00FD11DD" w:rsidRPr="0079042F" w:rsidRDefault="00FD11DD" w:rsidP="00FC0DA7">
      <w:pPr>
        <w:pStyle w:val="ListParagraph"/>
        <w:widowControl/>
        <w:numPr>
          <w:ilvl w:val="0"/>
          <w:numId w:val="1"/>
        </w:numPr>
        <w:autoSpaceDE w:val="0"/>
        <w:adjustRightInd w:val="0"/>
        <w:spacing w:after="27"/>
        <w:jc w:val="both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79042F">
        <w:rPr>
          <w:rFonts w:cs="Times New Roman"/>
          <w:color w:val="000000"/>
          <w:kern w:val="0"/>
          <w:szCs w:val="24"/>
          <w:lang w:bidi="ar-SA"/>
        </w:rPr>
        <w:t xml:space="preserve">являются наличными или безналичными денежными средствами, ценными бумагами, драгоценными металлами или представляют собой иные виды или эквиваленты денежных средств и/или предметов роскоши; </w:t>
      </w:r>
    </w:p>
    <w:p w:rsidR="00FD11DD" w:rsidRPr="0079042F" w:rsidRDefault="00FD11DD" w:rsidP="00FC0DA7">
      <w:pPr>
        <w:pStyle w:val="ListParagraph"/>
        <w:widowControl/>
        <w:numPr>
          <w:ilvl w:val="0"/>
          <w:numId w:val="1"/>
        </w:numPr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79042F">
        <w:rPr>
          <w:rFonts w:cs="Times New Roman"/>
          <w:color w:val="000000"/>
          <w:kern w:val="0"/>
          <w:szCs w:val="24"/>
          <w:lang w:bidi="ar-SA"/>
        </w:rPr>
        <w:t xml:space="preserve">не является разумно обоснованными с точки зрения предмета, стоимости и конкретного случая. </w:t>
      </w:r>
    </w:p>
    <w:p w:rsidR="00FD11DD" w:rsidRPr="0079042F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79042F">
        <w:rPr>
          <w:rFonts w:ascii="Times New Roman" w:hAnsi="Times New Roman" w:cs="Times New Roman"/>
          <w:color w:val="auto"/>
        </w:rPr>
        <w:t xml:space="preserve">5.4. </w:t>
      </w:r>
      <w:r w:rsidRPr="0079042F">
        <w:rPr>
          <w:rFonts w:ascii="Times New Roman" w:hAnsi="Times New Roman" w:cs="Times New Roman"/>
        </w:rPr>
        <w:t>Ограничения на прием подарков, установленные настоящим Положением, не распространяются на отношения сотрудника с дарителем, основанные на очевидных отношениях семейства (подарки родителей, детей, супругов) или иных близких отношениях личного свойства, дружеских отношениях, имеющих место вне зависимости от работы в Банке, а также в случаях, когда такой подарок представляет собой корпоративную сувенирную продукцию: ручки, блокноты, ежедневники и прочее. Ограничения на прием подарков, установленные настоящим Положением, также не распространяются в отношении пожертвований и благотворительных взносов, направляемых сотрудниками Банка от их имени в адрес третьих лиц (в том числе - другим сотрудникам Банка), а также в отношении таких пожертвований и благотворительных взносов, направляемых в адрес сотрудников (например: сбор средств на лечение/ на ликвидацию последствий стихийных бедствий и др.).</w:t>
      </w:r>
    </w:p>
    <w:p w:rsidR="00FD11DD" w:rsidRPr="0079042F" w:rsidRDefault="00FD11DD" w:rsidP="00FC0DA7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79042F">
        <w:rPr>
          <w:rFonts w:ascii="Times New Roman" w:hAnsi="Times New Roman" w:cs="Times New Roman"/>
        </w:rPr>
        <w:t xml:space="preserve">5.5. </w:t>
      </w:r>
      <w:r w:rsidRPr="0079042F">
        <w:rPr>
          <w:rFonts w:ascii="Times New Roman" w:hAnsi="Times New Roman" w:cs="Times New Roman"/>
          <w:bCs/>
        </w:rPr>
        <w:t>С</w:t>
      </w:r>
      <w:r w:rsidRPr="0079042F">
        <w:rPr>
          <w:rFonts w:ascii="Times New Roman" w:hAnsi="Times New Roman" w:cs="Times New Roman"/>
        </w:rPr>
        <w:t>отрудник Банка при получении/планируемом получении от третьего лица подарка/представительского расхода/гостеприимства</w:t>
      </w:r>
      <w:r w:rsidRPr="004113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 исключением случаев, указанных в п.5.4.) </w:t>
      </w:r>
      <w:r w:rsidRPr="0079042F">
        <w:rPr>
          <w:rFonts w:ascii="Times New Roman" w:hAnsi="Times New Roman" w:cs="Times New Roman"/>
        </w:rPr>
        <w:t xml:space="preserve">стоимость которого превышает 10000 рублей (как полагает/имеет основание полагать сотрудник Банка), а также при выявлении аналогичных действий со стороны иного сотрудника Банка, уведомляет об этом Службу внутреннего аудита, Службу внутреннего контроля по форме Приложения 1 к Положению не позднее рабочего дня, следующего за днем выявления. </w:t>
      </w:r>
    </w:p>
    <w:p w:rsidR="00FD11DD" w:rsidRPr="00304219" w:rsidRDefault="00FD11DD" w:rsidP="00FC0DA7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5.6. </w:t>
      </w:r>
      <w:r>
        <w:t xml:space="preserve">Банк воздерживается от оплаты любых расходов за государственных служащих и их близких родственников (или в их интересах) не соответствующих критериям, указанным в данном Положении. </w:t>
      </w: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ind w:firstLine="709"/>
        <w:jc w:val="both"/>
      </w:pPr>
    </w:p>
    <w:p w:rsidR="00FD11DD" w:rsidRPr="00D94A09" w:rsidRDefault="00FD11DD" w:rsidP="00FC0DA7">
      <w:pPr>
        <w:ind w:firstLine="709"/>
        <w:jc w:val="center"/>
        <w:rPr>
          <w:b/>
        </w:rPr>
      </w:pPr>
      <w:r w:rsidRPr="00D94A09">
        <w:rPr>
          <w:b/>
        </w:rPr>
        <w:t>6. РИСКИ В ОБЛАСТИ РЕАЛИЗАЦИИ ПОЛИТИКИ ПО ПРОТИВОДЕЙСТВИЮ КОРРУПЦИИ.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t xml:space="preserve">6.1. </w:t>
      </w:r>
      <w:r>
        <w:rPr>
          <w:rFonts w:cs="Times New Roman"/>
          <w:kern w:val="0"/>
          <w:lang w:bidi="ar-SA"/>
        </w:rPr>
        <w:t>Деятельность Банка в области противодействия коррупции направлена на минимизацию следующих рисков: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6.1.1. недобросовестности контрагентов и совершения противоправных действий контрагентами, приводящих к материальному ущербу (невыполнение договорных обязательств и пр.);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6.1.2. совершения сотрудниками Банка противоправных действий, приводящих к ущербу, к снижению или потере деловой репутации Банка;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6.1.3. вовлечения сотрудников Банка в мошеннические и коррупционные действия, использование их криминальными структурами, в том числе и против третьих лиц;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6.1.4. возникновение конфликтов интересов, негативных настроений в коллективе;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6.1.5. санкций по результатам расследования в отношении Банка со стороны правоохранительных органов Российской Федерации;</w:t>
      </w:r>
    </w:p>
    <w:p w:rsidR="00FD11DD" w:rsidRDefault="00FD11DD" w:rsidP="00FC0DA7">
      <w:pPr>
        <w:ind w:firstLine="709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6.1.6. применение предупредительных и принудительных мер воздействия к Банку со стороны Банка России в рамках осуществления надзора за деятельностью кредитных организаций.</w:t>
      </w: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ind w:firstLine="709"/>
        <w:jc w:val="center"/>
        <w:rPr>
          <w:b/>
        </w:rPr>
      </w:pPr>
      <w:r>
        <w:rPr>
          <w:b/>
        </w:rPr>
        <w:t>7</w:t>
      </w:r>
      <w:r w:rsidRPr="005B2135">
        <w:rPr>
          <w:b/>
        </w:rPr>
        <w:t xml:space="preserve">. </w:t>
      </w:r>
      <w:r>
        <w:rPr>
          <w:b/>
        </w:rPr>
        <w:t>ОТВЕТСТВЕННОСТЬ ЗА КОРРУПЦИОННЫЕ ПРАВОНАРУШЕНИЯ.</w:t>
      </w:r>
    </w:p>
    <w:p w:rsidR="00FD11DD" w:rsidRDefault="00FD11DD" w:rsidP="00FC0DA7">
      <w:pPr>
        <w:ind w:firstLine="709"/>
        <w:jc w:val="both"/>
      </w:pPr>
      <w:r>
        <w:t>7.1. Органы управления Банка и сотрудники Банка, независимо от занимаемой ими должности, несут персональную ответственность за соблюдение принципов и требований настоящего Положения, а также за действия (бездействия) подчиненных им лиц, нарушающие эти принципы и требования.</w:t>
      </w:r>
    </w:p>
    <w:p w:rsidR="00FD11DD" w:rsidRDefault="00FD11DD" w:rsidP="00FC0DA7">
      <w:pPr>
        <w:ind w:firstLine="709"/>
        <w:jc w:val="both"/>
      </w:pPr>
      <w:r>
        <w:t xml:space="preserve">7.2. Лица, виновные в нарушении требований настоящего Положения, могут быть привлечены к дисциплинарной, административной, гражданско- правовой или уголовной ответственнсти по инициативе Банка, правоохранительных органов или иных лиц в порядке и по основаниям, предусмотренным законодательством Российской Федерации. </w:t>
      </w:r>
    </w:p>
    <w:p w:rsidR="00FD11DD" w:rsidRDefault="00FD11DD" w:rsidP="00FC0DA7">
      <w:pPr>
        <w:ind w:firstLine="709"/>
        <w:jc w:val="both"/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bCs/>
          <w:color w:val="000000"/>
          <w:highlight w:val="yellow"/>
        </w:rPr>
      </w:pPr>
    </w:p>
    <w:p w:rsidR="00FD11DD" w:rsidRDefault="00FD11DD" w:rsidP="00FC0DA7">
      <w:pPr>
        <w:pStyle w:val="Standard"/>
        <w:jc w:val="right"/>
        <w:rPr>
          <w:b/>
          <w:bCs/>
          <w:color w:val="000000"/>
        </w:rPr>
      </w:pPr>
      <w:r w:rsidRPr="00A87CEB">
        <w:rPr>
          <w:b/>
          <w:bCs/>
          <w:color w:val="000000"/>
        </w:rPr>
        <w:t xml:space="preserve">Приложение 1 </w:t>
      </w:r>
      <w:r w:rsidRPr="00A87CEB">
        <w:rPr>
          <w:bCs/>
          <w:color w:val="000000"/>
        </w:rPr>
        <w:t>к Положению по противодействию коррупции</w:t>
      </w:r>
      <w:r w:rsidRPr="00A87CEB">
        <w:rPr>
          <w:b/>
          <w:bCs/>
          <w:color w:val="000000"/>
        </w:rPr>
        <w:t>.</w:t>
      </w:r>
    </w:p>
    <w:p w:rsidR="00FD11DD" w:rsidRDefault="00FD11DD" w:rsidP="00FC0DA7">
      <w:pPr>
        <w:pStyle w:val="Standard"/>
        <w:jc w:val="right"/>
        <w:rPr>
          <w:b/>
          <w:bCs/>
          <w:color w:val="000000"/>
        </w:rPr>
      </w:pPr>
    </w:p>
    <w:p w:rsidR="00FD11DD" w:rsidRDefault="00FD11DD" w:rsidP="00FC0DA7">
      <w:pPr>
        <w:pStyle w:val="Standard"/>
        <w:jc w:val="center"/>
        <w:rPr>
          <w:bCs/>
          <w:color w:val="000000"/>
        </w:rPr>
      </w:pPr>
    </w:p>
    <w:p w:rsidR="00FD11DD" w:rsidRDefault="00FD11DD" w:rsidP="00FC0DA7">
      <w:pPr>
        <w:pStyle w:val="Standard"/>
        <w:jc w:val="center"/>
        <w:rPr>
          <w:bCs/>
          <w:color w:val="000000"/>
        </w:rPr>
      </w:pPr>
      <w:r w:rsidRPr="00A87CEB">
        <w:rPr>
          <w:bCs/>
          <w:color w:val="000000"/>
        </w:rPr>
        <w:t>ФОРМА</w:t>
      </w:r>
      <w:r>
        <w:rPr>
          <w:bCs/>
          <w:color w:val="000000"/>
        </w:rPr>
        <w:t xml:space="preserve"> УВЕДОМЛЕНИЯ ПРИ ВЫЯВЛЕНИИ СОВЕРШЕНИЯ/ ПОЛУЧЕНИЯ/ ПЛАНИРУЕМОГО СОВЕРШЕНИЯ/ ПЛАНИРУЕМОГО ПОЛУЧЕНИЯ ПОДАРКА/ ПРЕДСТАВИТЕЛЬСКИХ РАСХОДОВ</w:t>
      </w:r>
    </w:p>
    <w:p w:rsidR="00FD11DD" w:rsidRPr="00A87CEB" w:rsidRDefault="00FD11DD" w:rsidP="00FC0DA7">
      <w:pPr>
        <w:pStyle w:val="Standard"/>
        <w:jc w:val="center"/>
        <w:rPr>
          <w:bCs/>
          <w:color w:val="0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536"/>
        <w:gridCol w:w="5211"/>
      </w:tblGrid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Ф.И.О. и должность сотрудника- получателя подарка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Ф.И.О/ наименование лица, от имени которого предоставляется подарок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Является ли даритель действующим клиентом/ контрагентом Банка (да/нет)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Дата предложения/ получения подарка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4C24FB">
              <w:t>Обстоятельства предложения / получения подарка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4C24FB">
              <w:t>Цель (предполагаемая) предложения подарка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4C24FB">
              <w:t>Оценочная стоимость подарка (в рублях РФ)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4C24FB">
              <w:t>Получал ли ранее сотрудник подарки от указанного лица / от иных лиц (да / нет)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FD11DD" w:rsidTr="00A23F58">
        <w:tc>
          <w:tcPr>
            <w:tcW w:w="392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A23F58">
              <w:rPr>
                <w:color w:val="000000"/>
              </w:rPr>
              <w:t>9</w:t>
            </w:r>
          </w:p>
        </w:tc>
        <w:tc>
          <w:tcPr>
            <w:tcW w:w="4536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  <w:r w:rsidRPr="004C24FB">
              <w:t>Дополнительные комментарии</w:t>
            </w:r>
          </w:p>
        </w:tc>
        <w:tc>
          <w:tcPr>
            <w:tcW w:w="5211" w:type="dxa"/>
          </w:tcPr>
          <w:p w:rsidR="00FD11DD" w:rsidRPr="00A23F58" w:rsidRDefault="00FD11DD" w:rsidP="00A23F58">
            <w:pPr>
              <w:pStyle w:val="Standard"/>
              <w:jc w:val="both"/>
              <w:rPr>
                <w:color w:val="000000"/>
              </w:rPr>
            </w:pPr>
          </w:p>
        </w:tc>
      </w:tr>
    </w:tbl>
    <w:p w:rsidR="00FD11DD" w:rsidRDefault="00FD11DD" w:rsidP="00FC0DA7">
      <w:pPr>
        <w:pStyle w:val="Standard"/>
        <w:jc w:val="both"/>
        <w:rPr>
          <w:b/>
          <w:color w:val="000000"/>
          <w:highlight w:val="yellow"/>
        </w:rPr>
      </w:pPr>
    </w:p>
    <w:p w:rsidR="00FD11DD" w:rsidRDefault="00FD11DD" w:rsidP="00FC0DA7">
      <w:pPr>
        <w:pStyle w:val="Standard"/>
        <w:jc w:val="both"/>
        <w:rPr>
          <w:b/>
          <w:color w:val="000000"/>
          <w:highlight w:val="yellow"/>
        </w:rPr>
      </w:pPr>
    </w:p>
    <w:p w:rsidR="00FD11DD" w:rsidRPr="00E05168" w:rsidRDefault="00FD11DD" w:rsidP="00FC0DA7">
      <w:pPr>
        <w:pStyle w:val="Standard"/>
        <w:jc w:val="both"/>
      </w:pPr>
      <w:r w:rsidRPr="004C24FB">
        <w:rPr>
          <w:color w:val="000000"/>
        </w:rPr>
        <w:t>Ф.И.О. сотрудника ______________________________________________________</w:t>
      </w:r>
    </w:p>
    <w:p w:rsidR="00FD11DD" w:rsidRDefault="00FD11DD" w:rsidP="00FC0DA7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/>
    <w:p w:rsidR="00FD11DD" w:rsidRDefault="00FD11DD" w:rsidP="00A154FA">
      <w:pPr>
        <w:jc w:val="right"/>
      </w:pPr>
      <w:r w:rsidRPr="00A154FA">
        <w:rPr>
          <w:b/>
        </w:rPr>
        <w:t>Приложение 2.</w:t>
      </w:r>
      <w:r>
        <w:t xml:space="preserve"> Лист ознакомления с Положением по противодействию коррупции </w:t>
      </w:r>
      <w:bookmarkStart w:id="2" w:name="_GoBack"/>
      <w:bookmarkEnd w:id="2"/>
    </w:p>
    <w:p w:rsidR="00FD11DD" w:rsidRDefault="00FD11DD" w:rsidP="00A154FA">
      <w:pPr>
        <w:jc w:val="right"/>
      </w:pPr>
    </w:p>
    <w:p w:rsidR="00FD11DD" w:rsidRDefault="00FD11DD" w:rsidP="00A154FA">
      <w:pPr>
        <w:jc w:val="right"/>
      </w:pPr>
    </w:p>
    <w:p w:rsidR="00FD11DD" w:rsidRDefault="00FD11DD" w:rsidP="00A154FA">
      <w:pPr>
        <w:jc w:val="both"/>
      </w:pPr>
    </w:p>
    <w:p w:rsidR="00FD11DD" w:rsidRDefault="00FD11DD" w:rsidP="00A154FA">
      <w:pPr>
        <w:jc w:val="both"/>
      </w:pPr>
      <w:r>
        <w:t>Наименование структурного подразделения____________________________________</w:t>
      </w:r>
    </w:p>
    <w:p w:rsidR="00FD11DD" w:rsidRDefault="00FD11DD" w:rsidP="00A154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529"/>
        <w:gridCol w:w="2535"/>
        <w:gridCol w:w="2535"/>
      </w:tblGrid>
      <w:tr w:rsidR="00FD11DD" w:rsidTr="00A23F58">
        <w:tc>
          <w:tcPr>
            <w:tcW w:w="540" w:type="dxa"/>
          </w:tcPr>
          <w:p w:rsidR="00FD11DD" w:rsidRPr="00A154FA" w:rsidRDefault="00FD11DD" w:rsidP="00A23F58">
            <w:pPr>
              <w:jc w:val="center"/>
            </w:pPr>
            <w:r w:rsidRPr="00A154FA">
              <w:t>№ п/п</w:t>
            </w:r>
          </w:p>
        </w:tc>
        <w:tc>
          <w:tcPr>
            <w:tcW w:w="4529" w:type="dxa"/>
          </w:tcPr>
          <w:p w:rsidR="00FD11DD" w:rsidRPr="00A154FA" w:rsidRDefault="00FD11DD" w:rsidP="00A23F58">
            <w:pPr>
              <w:jc w:val="center"/>
            </w:pPr>
            <w:r w:rsidRPr="00A154FA">
              <w:t>Ф.И.О. сотрудника</w:t>
            </w:r>
          </w:p>
        </w:tc>
        <w:tc>
          <w:tcPr>
            <w:tcW w:w="2535" w:type="dxa"/>
          </w:tcPr>
          <w:p w:rsidR="00FD11DD" w:rsidRPr="00A154FA" w:rsidRDefault="00FD11DD" w:rsidP="00A23F58">
            <w:pPr>
              <w:jc w:val="center"/>
            </w:pPr>
            <w:r>
              <w:t>Дата</w:t>
            </w:r>
          </w:p>
        </w:tc>
        <w:tc>
          <w:tcPr>
            <w:tcW w:w="2535" w:type="dxa"/>
          </w:tcPr>
          <w:p w:rsidR="00FD11DD" w:rsidRPr="00A154FA" w:rsidRDefault="00FD11DD" w:rsidP="00A23F58">
            <w:pPr>
              <w:jc w:val="center"/>
            </w:pPr>
            <w:r>
              <w:t>Подпись</w:t>
            </w: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  <w:tr w:rsidR="00FD11DD" w:rsidTr="00A23F58">
        <w:tc>
          <w:tcPr>
            <w:tcW w:w="540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4529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  <w:tc>
          <w:tcPr>
            <w:tcW w:w="2535" w:type="dxa"/>
          </w:tcPr>
          <w:p w:rsidR="00FD11DD" w:rsidRDefault="00FD11DD" w:rsidP="00A23F58">
            <w:pPr>
              <w:jc w:val="both"/>
            </w:pPr>
          </w:p>
        </w:tc>
      </w:tr>
    </w:tbl>
    <w:p w:rsidR="00FD11DD" w:rsidRDefault="00FD11DD" w:rsidP="00A154FA">
      <w:pPr>
        <w:jc w:val="both"/>
      </w:pPr>
    </w:p>
    <w:sectPr w:rsidR="00FD11DD" w:rsidSect="00020E4F">
      <w:footerReference w:type="default" r:id="rId7"/>
      <w:pgSz w:w="11906" w:h="16838"/>
      <w:pgMar w:top="720" w:right="849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DD" w:rsidRDefault="00FD11DD">
      <w:r>
        <w:separator/>
      </w:r>
    </w:p>
  </w:endnote>
  <w:endnote w:type="continuationSeparator" w:id="0">
    <w:p w:rsidR="00FD11DD" w:rsidRDefault="00FD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DD" w:rsidRDefault="00FD11DD" w:rsidP="00D04B1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DD" w:rsidRDefault="00FD11DD">
      <w:r>
        <w:separator/>
      </w:r>
    </w:p>
  </w:footnote>
  <w:footnote w:type="continuationSeparator" w:id="0">
    <w:p w:rsidR="00FD11DD" w:rsidRDefault="00FD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B"/>
    <w:multiLevelType w:val="hybridMultilevel"/>
    <w:tmpl w:val="AF0E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06F"/>
    <w:rsid w:val="00020E4F"/>
    <w:rsid w:val="0023106F"/>
    <w:rsid w:val="00273542"/>
    <w:rsid w:val="002A0F89"/>
    <w:rsid w:val="00304219"/>
    <w:rsid w:val="00307719"/>
    <w:rsid w:val="00326D37"/>
    <w:rsid w:val="003570D8"/>
    <w:rsid w:val="0040514A"/>
    <w:rsid w:val="00411321"/>
    <w:rsid w:val="004224DF"/>
    <w:rsid w:val="00482030"/>
    <w:rsid w:val="004A4D71"/>
    <w:rsid w:val="004C24FB"/>
    <w:rsid w:val="005B2135"/>
    <w:rsid w:val="00743729"/>
    <w:rsid w:val="0079042F"/>
    <w:rsid w:val="007A5A8E"/>
    <w:rsid w:val="008C45EF"/>
    <w:rsid w:val="00936AB6"/>
    <w:rsid w:val="00A154FA"/>
    <w:rsid w:val="00A23F58"/>
    <w:rsid w:val="00A87CEB"/>
    <w:rsid w:val="00C80B78"/>
    <w:rsid w:val="00CE1BED"/>
    <w:rsid w:val="00D04B13"/>
    <w:rsid w:val="00D94A09"/>
    <w:rsid w:val="00E05168"/>
    <w:rsid w:val="00E870C7"/>
    <w:rsid w:val="00F91850"/>
    <w:rsid w:val="00FC0DA7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0DA7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DA7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DA7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FC0DA7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uiPriority w:val="99"/>
    <w:rsid w:val="00FC0DA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A7"/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99"/>
    <w:qFormat/>
    <w:rsid w:val="00FC0DA7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FC0DA7"/>
    <w:pPr>
      <w:widowControl/>
      <w:suppressAutoHyphens w:val="0"/>
      <w:autoSpaceDN/>
      <w:spacing w:line="276" w:lineRule="auto"/>
      <w:textAlignment w:val="auto"/>
      <w:outlineLvl w:val="9"/>
    </w:pPr>
    <w:rPr>
      <w:rFonts w:cs="Times New Roman"/>
      <w:kern w:val="0"/>
      <w:szCs w:val="28"/>
      <w:lang w:eastAsia="ru-RU" w:bidi="ar-SA"/>
    </w:rPr>
  </w:style>
  <w:style w:type="paragraph" w:styleId="TOC1">
    <w:name w:val="toc 1"/>
    <w:basedOn w:val="Normal"/>
    <w:next w:val="Normal"/>
    <w:autoRedefine/>
    <w:uiPriority w:val="99"/>
    <w:rsid w:val="00FC0DA7"/>
    <w:pPr>
      <w:spacing w:after="10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rsid w:val="00FC0D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C0DA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FC0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C0DA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99"/>
    <w:rsid w:val="00FC0DA7"/>
    <w:pPr>
      <w:widowControl w:val="0"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2292</Words>
  <Characters>13071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audit7</dc:creator>
  <cp:keywords/>
  <dc:description/>
  <cp:lastModifiedBy>vladoper22</cp:lastModifiedBy>
  <cp:revision>2</cp:revision>
  <dcterms:created xsi:type="dcterms:W3CDTF">2020-08-18T00:53:00Z</dcterms:created>
  <dcterms:modified xsi:type="dcterms:W3CDTF">2020-08-18T00:53:00Z</dcterms:modified>
</cp:coreProperties>
</file>